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1F24" w14:textId="29F9D509" w:rsidR="001931BD" w:rsidRPr="00387272" w:rsidRDefault="001931BD" w:rsidP="004B4066">
      <w:pPr>
        <w:spacing w:after="0" w:line="240" w:lineRule="auto"/>
        <w:jc w:val="center"/>
        <w:rPr>
          <w:rFonts w:ascii="Amasis MT Pro Medium" w:eastAsia="Times New Roman" w:hAnsi="Amasis MT Pro Medium" w:cs="Times New Roman"/>
          <w:sz w:val="28"/>
          <w:szCs w:val="28"/>
          <w:lang w:val="en-GB" w:eastAsia="hu-HU"/>
        </w:rPr>
      </w:pPr>
      <w:r w:rsidRPr="00387272">
        <w:rPr>
          <w:rFonts w:ascii="Amasis MT Pro Medium" w:eastAsia="Times New Roman" w:hAnsi="Amasis MT Pro Medium" w:cs="Times New Roman"/>
          <w:sz w:val="28"/>
          <w:szCs w:val="28"/>
          <w:lang w:val="en-GB" w:eastAsia="hu-HU"/>
        </w:rPr>
        <w:t>COMPREHENSIVE EXAM 202</w:t>
      </w:r>
      <w:r w:rsidR="00260348">
        <w:rPr>
          <w:rFonts w:ascii="Amasis MT Pro Medium" w:eastAsia="Times New Roman" w:hAnsi="Amasis MT Pro Medium" w:cs="Times New Roman"/>
          <w:sz w:val="28"/>
          <w:szCs w:val="28"/>
          <w:lang w:val="en-GB" w:eastAsia="hu-HU"/>
        </w:rPr>
        <w:t>5</w:t>
      </w:r>
    </w:p>
    <w:p w14:paraId="72F10198" w14:textId="24C3EA96" w:rsidR="003E4ECC" w:rsidRPr="00387272" w:rsidRDefault="00387272" w:rsidP="004B4066">
      <w:pPr>
        <w:spacing w:after="0" w:line="240" w:lineRule="auto"/>
        <w:jc w:val="center"/>
        <w:rPr>
          <w:rFonts w:ascii="Amasis MT Pro Medium" w:eastAsia="Times New Roman" w:hAnsi="Amasis MT Pro Medium" w:cs="Times New Roman"/>
          <w:sz w:val="28"/>
          <w:szCs w:val="28"/>
          <w:lang w:val="en-GB" w:eastAsia="hu-HU"/>
        </w:rPr>
      </w:pPr>
      <w:r w:rsidRPr="00387272">
        <w:rPr>
          <w:rFonts w:ascii="Amasis MT Pro Medium" w:eastAsia="Times New Roman" w:hAnsi="Amasis MT Pro Medium" w:cs="Times New Roman"/>
          <w:sz w:val="28"/>
          <w:szCs w:val="28"/>
          <w:lang w:val="en-GB" w:eastAsia="hu-HU"/>
        </w:rPr>
        <w:t>Doctoral School of Sociology and Communication Science</w:t>
      </w:r>
    </w:p>
    <w:p w14:paraId="0B0B3DD5" w14:textId="171DEAEB" w:rsidR="00387272" w:rsidRPr="00387272" w:rsidRDefault="00333DC7" w:rsidP="004B4066">
      <w:pPr>
        <w:spacing w:after="0" w:line="240" w:lineRule="auto"/>
        <w:jc w:val="center"/>
        <w:rPr>
          <w:rFonts w:ascii="Amasis MT Pro Medium" w:eastAsia="Times New Roman" w:hAnsi="Amasis MT Pro Medium" w:cs="Times New Roman"/>
          <w:b/>
          <w:bCs/>
          <w:sz w:val="28"/>
          <w:szCs w:val="28"/>
          <w:lang w:val="en-GB" w:eastAsia="hu-HU"/>
        </w:rPr>
      </w:pPr>
      <w:r w:rsidRPr="00506470">
        <w:rPr>
          <w:rFonts w:ascii="Amasis MT Pro Medium" w:eastAsia="Times New Roman" w:hAnsi="Amasis MT Pro Medium" w:cs="Times New Roman"/>
          <w:b/>
          <w:bCs/>
          <w:sz w:val="28"/>
          <w:szCs w:val="28"/>
          <w:lang w:val="en-GB" w:eastAsia="hu-HU"/>
        </w:rPr>
        <w:t>Sociology</w:t>
      </w:r>
      <w:r w:rsidR="00387272" w:rsidRPr="00506470">
        <w:rPr>
          <w:rFonts w:ascii="Amasis MT Pro Medium" w:eastAsia="Times New Roman" w:hAnsi="Amasis MT Pro Medium" w:cs="Times New Roman"/>
          <w:b/>
          <w:bCs/>
          <w:sz w:val="28"/>
          <w:szCs w:val="28"/>
          <w:lang w:val="en-GB" w:eastAsia="hu-HU"/>
        </w:rPr>
        <w:t xml:space="preserve"> </w:t>
      </w:r>
      <w:r w:rsidR="00D609C3">
        <w:rPr>
          <w:rFonts w:ascii="Amasis MT Pro Medium" w:eastAsia="Times New Roman" w:hAnsi="Amasis MT Pro Medium" w:cs="Times New Roman"/>
          <w:b/>
          <w:bCs/>
          <w:sz w:val="28"/>
          <w:szCs w:val="28"/>
          <w:lang w:val="en-GB" w:eastAsia="hu-HU"/>
        </w:rPr>
        <w:t xml:space="preserve">and Communication </w:t>
      </w:r>
      <w:r w:rsidR="00387272" w:rsidRPr="00506470">
        <w:rPr>
          <w:rFonts w:ascii="Amasis MT Pro Medium" w:eastAsia="Times New Roman" w:hAnsi="Amasis MT Pro Medium" w:cs="Times New Roman"/>
          <w:b/>
          <w:bCs/>
          <w:sz w:val="28"/>
          <w:szCs w:val="28"/>
          <w:lang w:val="en-GB" w:eastAsia="hu-HU"/>
        </w:rPr>
        <w:t>Doctoral Program</w:t>
      </w:r>
    </w:p>
    <w:p w14:paraId="2EE7B083" w14:textId="096B558E" w:rsidR="001931BD" w:rsidRPr="00387272" w:rsidRDefault="001931BD" w:rsidP="004B4066">
      <w:pPr>
        <w:spacing w:after="0" w:line="240" w:lineRule="auto"/>
        <w:jc w:val="center"/>
        <w:rPr>
          <w:rFonts w:ascii="Amasis MT Pro Light" w:eastAsia="Times New Roman" w:hAnsi="Amasis MT Pro Light" w:cs="Times New Roman"/>
          <w:b/>
          <w:bCs/>
          <w:sz w:val="28"/>
          <w:szCs w:val="28"/>
          <w:lang w:val="en-GB" w:eastAsia="hu-HU"/>
        </w:rPr>
      </w:pPr>
    </w:p>
    <w:p w14:paraId="75BDD265" w14:textId="579B99B7" w:rsidR="001931BD" w:rsidRPr="00387272" w:rsidRDefault="001931BD" w:rsidP="004B4066">
      <w:pPr>
        <w:spacing w:after="0" w:line="240" w:lineRule="auto"/>
        <w:jc w:val="center"/>
        <w:rPr>
          <w:rFonts w:ascii="Amasis MT Pro Light" w:eastAsia="Times New Roman" w:hAnsi="Amasis MT Pro Light" w:cs="Times New Roman"/>
          <w:b/>
          <w:bCs/>
          <w:sz w:val="28"/>
          <w:szCs w:val="28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bCs/>
          <w:sz w:val="28"/>
          <w:szCs w:val="28"/>
          <w:lang w:val="en-GB" w:eastAsia="hu-HU"/>
        </w:rPr>
        <w:t>General Information</w:t>
      </w:r>
    </w:p>
    <w:p w14:paraId="0764DC5F" w14:textId="77777777" w:rsidR="00F17D1D" w:rsidRPr="00387272" w:rsidRDefault="00F17D1D" w:rsidP="004B4066">
      <w:pPr>
        <w:spacing w:after="0" w:line="240" w:lineRule="auto"/>
        <w:jc w:val="center"/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</w:pPr>
    </w:p>
    <w:p w14:paraId="3D199328" w14:textId="747157ED" w:rsidR="00387272" w:rsidRPr="00387272" w:rsidRDefault="001931BD" w:rsidP="00BB7E0F">
      <w:pPr>
        <w:spacing w:after="0" w:line="240" w:lineRule="auto"/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The </w:t>
      </w:r>
      <w:r w:rsidR="00387272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first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phase </w:t>
      </w:r>
      <w:r w:rsidR="00387272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of your doctoral studies (Year 1 &amp; 2) 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concludes with the comprehensive exam</w:t>
      </w:r>
      <w:r w:rsidR="00387272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.</w:t>
      </w:r>
      <w:r w:rsidR="00826F9C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The exam consists of 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two parts: </w:t>
      </w:r>
    </w:p>
    <w:p w14:paraId="4BDBD1DA" w14:textId="77777777" w:rsidR="00387272" w:rsidRPr="00387272" w:rsidRDefault="00387272" w:rsidP="004B4066">
      <w:pPr>
        <w:spacing w:after="0" w:line="240" w:lineRule="auto"/>
        <w:jc w:val="both"/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</w:pPr>
    </w:p>
    <w:p w14:paraId="41E190BD" w14:textId="0CBCAF75" w:rsidR="00387272" w:rsidRPr="00387272" w:rsidRDefault="001931BD" w:rsidP="004B4066">
      <w:pPr>
        <w:pStyle w:val="Listaszerbekezds"/>
        <w:numPr>
          <w:ilvl w:val="0"/>
          <w:numId w:val="6"/>
        </w:numPr>
        <w:spacing w:after="0" w:line="240" w:lineRule="auto"/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a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theoretical part assessing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the t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heoretical-methodological preparedness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of the </w:t>
      </w:r>
      <w:r w:rsidR="00942987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student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;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and </w:t>
      </w:r>
    </w:p>
    <w:p w14:paraId="482C3EFB" w14:textId="606D7E8F" w:rsidR="00387272" w:rsidRPr="00387272" w:rsidRDefault="001931BD" w:rsidP="004B4066">
      <w:pPr>
        <w:pStyle w:val="Listaszerbekezds"/>
        <w:numPr>
          <w:ilvl w:val="0"/>
          <w:numId w:val="6"/>
        </w:numPr>
        <w:spacing w:after="0" w:line="240" w:lineRule="auto"/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a dissertation part 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assessing the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progress </w:t>
      </w:r>
      <w:r w:rsidR="008F63E5"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of the research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. </w:t>
      </w:r>
    </w:p>
    <w:p w14:paraId="7F14F581" w14:textId="77777777" w:rsidR="00387272" w:rsidRPr="00387272" w:rsidRDefault="00387272" w:rsidP="004B4066">
      <w:pPr>
        <w:spacing w:after="0" w:line="240" w:lineRule="auto"/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</w:pPr>
    </w:p>
    <w:p w14:paraId="2498A2E3" w14:textId="2E5B4ED4" w:rsidR="001931BD" w:rsidRPr="00387272" w:rsidRDefault="00387272" w:rsidP="004B4066">
      <w:pPr>
        <w:spacing w:after="0" w:line="240" w:lineRule="auto"/>
        <w:jc w:val="both"/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</w:pPr>
      <w:r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>The following c</w:t>
      </w:r>
      <w:r w:rsidR="001931BD"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>riteria</w:t>
      </w:r>
      <w:r w:rsidR="00826F9C"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 xml:space="preserve"> </w:t>
      </w:r>
      <w:r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 xml:space="preserve">need to be met </w:t>
      </w:r>
      <w:proofErr w:type="gramStart"/>
      <w:r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 xml:space="preserve">in order </w:t>
      </w:r>
      <w:r w:rsidR="00826F9C"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>to</w:t>
      </w:r>
      <w:proofErr w:type="gramEnd"/>
      <w:r w:rsidR="00826F9C"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 xml:space="preserve"> take the exam</w:t>
      </w:r>
      <w:r w:rsidR="001931BD"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lang w:val="en-GB" w:eastAsia="hu-HU"/>
        </w:rPr>
        <w:t xml:space="preserve">: </w:t>
      </w:r>
    </w:p>
    <w:p w14:paraId="0B860BFB" w14:textId="77777777" w:rsidR="00A412F0" w:rsidRPr="00387272" w:rsidRDefault="00A412F0" w:rsidP="004B4066">
      <w:pPr>
        <w:pStyle w:val="Listaszerbekezds"/>
        <w:numPr>
          <w:ilvl w:val="0"/>
          <w:numId w:val="7"/>
        </w:numPr>
        <w:spacing w:after="0" w:line="240" w:lineRule="auto"/>
        <w:rPr>
          <w:rFonts w:ascii="Amasis MT Pro Light" w:eastAsia="Times New Roman" w:hAnsi="Amasis MT Pro Light" w:cs="Times New Roman"/>
          <w:b/>
          <w:sz w:val="24"/>
          <w:szCs w:val="24"/>
          <w:u w:val="single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sz w:val="24"/>
          <w:szCs w:val="24"/>
          <w:u w:val="single"/>
          <w:lang w:val="en-GB" w:eastAsia="hu-HU"/>
        </w:rPr>
        <w:t>Submission of the application form for the exam.</w:t>
      </w:r>
    </w:p>
    <w:p w14:paraId="2A4F07B7" w14:textId="77777777" w:rsidR="00A412F0" w:rsidRPr="00387272" w:rsidRDefault="00A412F0" w:rsidP="004B4066">
      <w:pPr>
        <w:pStyle w:val="Listaszerbekezds"/>
        <w:numPr>
          <w:ilvl w:val="0"/>
          <w:numId w:val="7"/>
        </w:numPr>
        <w:spacing w:after="0" w:line="240" w:lineRule="auto"/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 xml:space="preserve">Supervisor’s written evaluation and </w:t>
      </w:r>
      <w:proofErr w:type="gramStart"/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>recommendation;</w:t>
      </w:r>
      <w:proofErr w:type="gramEnd"/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 xml:space="preserve"> </w:t>
      </w:r>
    </w:p>
    <w:p w14:paraId="3C41E95E" w14:textId="77777777" w:rsidR="00A412F0" w:rsidRPr="00387272" w:rsidRDefault="00A412F0" w:rsidP="004B4066">
      <w:pPr>
        <w:pStyle w:val="Listaszerbekezds"/>
        <w:numPr>
          <w:ilvl w:val="0"/>
          <w:numId w:val="7"/>
        </w:numPr>
        <w:spacing w:after="0" w:line="240" w:lineRule="auto"/>
        <w:rPr>
          <w:rFonts w:ascii="Amasis MT Pro Light" w:eastAsia="Times New Roman" w:hAnsi="Amasis MT Pro Light" w:cs="Times New Roman"/>
          <w:bCs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>Obtaining a minimum of 120 credits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in the education and research phase of the doctoral program, as certified by the University Doctoral </w:t>
      </w:r>
      <w:proofErr w:type="gramStart"/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Office;</w:t>
      </w:r>
      <w:proofErr w:type="gramEnd"/>
    </w:p>
    <w:p w14:paraId="7821CC8A" w14:textId="77777777" w:rsidR="00A412F0" w:rsidRPr="00387272" w:rsidRDefault="00A412F0" w:rsidP="004B4066">
      <w:pPr>
        <w:pStyle w:val="Listaszerbekezds"/>
        <w:numPr>
          <w:ilvl w:val="0"/>
          <w:numId w:val="7"/>
        </w:numPr>
        <w:spacing w:after="0" w:line="240" w:lineRule="auto"/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 xml:space="preserve">Submission of the Research Plan to the </w:t>
      </w:r>
      <w:proofErr w:type="gramStart"/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>CDS;</w:t>
      </w:r>
      <w:proofErr w:type="gramEnd"/>
    </w:p>
    <w:p w14:paraId="6BA84D0F" w14:textId="79F4D4D2" w:rsidR="00A412F0" w:rsidRPr="00387272" w:rsidRDefault="00A412F0" w:rsidP="004B4066">
      <w:pPr>
        <w:pStyle w:val="Listaszerbekezds"/>
        <w:numPr>
          <w:ilvl w:val="0"/>
          <w:numId w:val="7"/>
        </w:numPr>
        <w:spacing w:after="0" w:line="240" w:lineRule="auto"/>
        <w:rPr>
          <w:rFonts w:ascii="Amasis MT Pro Light" w:eastAsia="Times New Roman" w:hAnsi="Amasis MT Pro Light" w:cs="Times New Roman"/>
          <w:bCs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b/>
          <w:bCs/>
          <w:sz w:val="24"/>
          <w:szCs w:val="24"/>
          <w:u w:val="single"/>
          <w:lang w:val="en-GB" w:eastAsia="hu-HU"/>
        </w:rPr>
        <w:t>Recording the student’s publications in the MTMT Database</w:t>
      </w:r>
      <w:r w:rsidR="0011219B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>.</w:t>
      </w:r>
      <w:r w:rsidRPr="00387272">
        <w:rPr>
          <w:rFonts w:ascii="Amasis MT Pro Light" w:eastAsia="Times New Roman" w:hAnsi="Amasis MT Pro Light" w:cs="Times New Roman"/>
          <w:sz w:val="24"/>
          <w:szCs w:val="24"/>
          <w:lang w:val="en-GB" w:eastAsia="hu-HU"/>
        </w:rPr>
        <w:t xml:space="preserve"> </w:t>
      </w:r>
    </w:p>
    <w:p w14:paraId="61DF0C1F" w14:textId="44E0F553" w:rsidR="00F17D1D" w:rsidRPr="00387272" w:rsidRDefault="00F17D1D" w:rsidP="004B4066">
      <w:pPr>
        <w:spacing w:after="0" w:line="240" w:lineRule="auto"/>
        <w:jc w:val="both"/>
        <w:rPr>
          <w:rFonts w:ascii="Amasis MT Pro Light" w:eastAsia="Times New Roman" w:hAnsi="Amasis MT Pro Light" w:cs="Times New Roman"/>
          <w:bCs/>
          <w:sz w:val="24"/>
          <w:szCs w:val="24"/>
          <w:lang w:val="en-GB" w:eastAsia="hu-HU"/>
        </w:rPr>
      </w:pPr>
    </w:p>
    <w:p w14:paraId="770ACC19" w14:textId="0A7C477D" w:rsidR="001931BD" w:rsidRPr="00387272" w:rsidRDefault="004B4066" w:rsidP="004B4066">
      <w:pPr>
        <w:spacing w:after="0" w:line="240" w:lineRule="auto"/>
        <w:jc w:val="both"/>
        <w:rPr>
          <w:rFonts w:ascii="Amasis MT Pro Light" w:eastAsia="Times New Roman" w:hAnsi="Amasis MT Pro Light" w:cs="Times New Roman"/>
          <w:b/>
          <w:sz w:val="24"/>
          <w:szCs w:val="24"/>
          <w:lang w:val="en-GB" w:eastAsia="hu-HU"/>
        </w:rPr>
      </w:pPr>
      <w:r>
        <w:rPr>
          <w:rFonts w:ascii="Amasis MT Pro Light" w:eastAsia="Times New Roman" w:hAnsi="Amasis MT Pro Light" w:cs="Times New Roman"/>
          <w:b/>
          <w:sz w:val="24"/>
          <w:szCs w:val="24"/>
          <w:lang w:val="en-GB" w:eastAsia="hu-HU"/>
        </w:rPr>
        <w:t>General r</w:t>
      </w:r>
      <w:r w:rsidR="001931BD" w:rsidRPr="00387272">
        <w:rPr>
          <w:rFonts w:ascii="Amasis MT Pro Light" w:eastAsia="Times New Roman" w:hAnsi="Amasis MT Pro Light" w:cs="Times New Roman"/>
          <w:b/>
          <w:sz w:val="24"/>
          <w:szCs w:val="24"/>
          <w:lang w:val="en-GB" w:eastAsia="hu-HU"/>
        </w:rPr>
        <w:t>ules of the comprehensive exam:</w:t>
      </w:r>
    </w:p>
    <w:p w14:paraId="7444DA9B" w14:textId="0C6058D6" w:rsidR="001931BD" w:rsidRPr="00387272" w:rsidRDefault="001931BD" w:rsidP="004B40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comprehensive exam </w:t>
      </w:r>
      <w:r w:rsidR="00F17D1D"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is organised 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once a year, during the s</w:t>
      </w:r>
      <w:r w:rsidR="004B4066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pring semester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exam period. </w:t>
      </w:r>
    </w:p>
    <w:p w14:paraId="10837282" w14:textId="465A73F7" w:rsidR="001931BD" w:rsidRPr="00387272" w:rsidRDefault="001931BD" w:rsidP="004B406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masis MT Pro Light" w:eastAsia="Times New Roman" w:hAnsi="Amasis MT Pro Light" w:cs="Times New Roman"/>
          <w:i/>
          <w:iCs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The comprehensive exam is taken publicly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,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before an examining committee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that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consist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s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of three members. At least one of the members 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is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not employed by the university. The members of the 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c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ommittee 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are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appointed by the Head of the DS</w:t>
      </w:r>
      <w:r w:rsidR="007376E6"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 and </w:t>
      </w:r>
      <w:r w:rsidR="004B4066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are </w:t>
      </w:r>
      <w:r w:rsidR="007376E6"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>approved by the Doctoral Council of the University</w:t>
      </w:r>
      <w:r w:rsidRPr="00387272">
        <w:rPr>
          <w:rFonts w:ascii="Amasis MT Pro Light" w:eastAsia="Times New Roman" w:hAnsi="Amasis MT Pro Light" w:cs="Times New Roman"/>
          <w:iCs/>
          <w:sz w:val="24"/>
          <w:szCs w:val="24"/>
          <w:lang w:val="en-GB" w:eastAsia="hu-HU"/>
        </w:rPr>
        <w:t xml:space="preserve">. </w:t>
      </w:r>
    </w:p>
    <w:p w14:paraId="0698160A" w14:textId="62489C4D" w:rsidR="007376E6" w:rsidRPr="00387272" w:rsidRDefault="001931BD" w:rsidP="004B40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supervisor must evaluate the doctoral </w:t>
      </w:r>
      <w:proofErr w:type="spellStart"/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student’s</w:t>
      </w:r>
      <w:proofErr w:type="spellEnd"/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work prior to the exam</w:t>
      </w:r>
      <w:r w:rsidR="00446CAB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C73079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(</w:t>
      </w:r>
      <w:r w:rsidR="00446CAB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in written form</w:t>
      </w:r>
      <w:r w:rsidR="00C73079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)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. </w:t>
      </w:r>
    </w:p>
    <w:p w14:paraId="6A7155C6" w14:textId="77777777" w:rsidR="009F4ABD" w:rsidRPr="009F4ABD" w:rsidRDefault="00451780" w:rsidP="009F4AB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387272">
        <w:rPr>
          <w:rFonts w:ascii="Amasis MT Pro Light" w:hAnsi="Amasis MT Pro Light" w:cs="Times New Roman"/>
          <w:sz w:val="24"/>
          <w:szCs w:val="24"/>
          <w:lang w:val="en-GB"/>
        </w:rPr>
        <w:t>The comprehensive exam consists of two main parts: the theoretical part and the dissertation part.</w:t>
      </w:r>
      <w:r w:rsidR="007376E6"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 </w:t>
      </w:r>
      <w:r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In the first part the student's theoretical-methodological </w:t>
      </w:r>
      <w:r w:rsidR="00252A07"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preparedness </w:t>
      </w:r>
      <w:r w:rsidRPr="00387272">
        <w:rPr>
          <w:rFonts w:ascii="Amasis MT Pro Light" w:hAnsi="Amasis MT Pro Light" w:cs="Times New Roman"/>
          <w:sz w:val="24"/>
          <w:szCs w:val="24"/>
          <w:lang w:val="en-GB"/>
        </w:rPr>
        <w:t>is assessed ("theoretical part"),</w:t>
      </w:r>
      <w:r w:rsidR="007376E6"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 i</w:t>
      </w:r>
      <w:r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n the second part, the student reports on his/her </w:t>
      </w:r>
      <w:r w:rsidR="00252A07" w:rsidRPr="00387272">
        <w:rPr>
          <w:rFonts w:ascii="Amasis MT Pro Light" w:hAnsi="Amasis MT Pro Light" w:cs="Times New Roman"/>
          <w:sz w:val="24"/>
          <w:szCs w:val="24"/>
          <w:lang w:val="en-GB"/>
        </w:rPr>
        <w:t xml:space="preserve">research </w:t>
      </w:r>
      <w:r w:rsidRPr="00387272">
        <w:rPr>
          <w:rFonts w:ascii="Amasis MT Pro Light" w:hAnsi="Amasis MT Pro Light" w:cs="Times New Roman"/>
          <w:sz w:val="24"/>
          <w:szCs w:val="24"/>
          <w:lang w:val="en-GB"/>
        </w:rPr>
        <w:t>progress (“dissertation part”).</w:t>
      </w:r>
    </w:p>
    <w:p w14:paraId="7AEF91A2" w14:textId="030D70E6" w:rsidR="009F4ABD" w:rsidRPr="009F4ABD" w:rsidRDefault="009F4ABD" w:rsidP="009F4AB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exam results </w:t>
      </w:r>
      <w:r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are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announced on the day of the oral exam. </w:t>
      </w:r>
    </w:p>
    <w:p w14:paraId="597F1258" w14:textId="1737BE81" w:rsidR="009F4ABD" w:rsidRPr="009F4ABD" w:rsidRDefault="009F4ABD" w:rsidP="009F4AB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If either of the parts is unsuccessful, </w:t>
      </w:r>
      <w:r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 exam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may be retaken once</w:t>
      </w:r>
      <w:r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,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at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the end of the given exam period</w:t>
      </w:r>
      <w:r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(i.e., August 2023)</w:t>
      </w:r>
      <w:r w:rsidRPr="00387272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.</w:t>
      </w:r>
    </w:p>
    <w:p w14:paraId="5917D3FE" w14:textId="77777777" w:rsidR="004B4066" w:rsidRDefault="004B4066" w:rsidP="004B4066">
      <w:pPr>
        <w:spacing w:after="0" w:line="240" w:lineRule="auto"/>
        <w:rPr>
          <w:rFonts w:ascii="Amasis MT Pro Light" w:hAnsi="Amasis MT Pro Light" w:cs="Times New Roman"/>
          <w:sz w:val="24"/>
          <w:szCs w:val="24"/>
          <w:lang w:val="en-GB"/>
        </w:rPr>
      </w:pPr>
    </w:p>
    <w:p w14:paraId="748CCCEB" w14:textId="6474F878" w:rsidR="004B4066" w:rsidRPr="00506470" w:rsidRDefault="00451780" w:rsidP="004B4066">
      <w:pPr>
        <w:spacing w:after="0" w:line="240" w:lineRule="auto"/>
        <w:rPr>
          <w:rFonts w:ascii="Amasis MT Pro Light" w:hAnsi="Amasis MT Pro Light" w:cs="Times New Roman"/>
          <w:b/>
          <w:bCs/>
          <w:sz w:val="24"/>
          <w:szCs w:val="24"/>
          <w:lang w:val="en-GB"/>
        </w:rPr>
      </w:pPr>
      <w:r w:rsidRPr="00506470">
        <w:rPr>
          <w:rFonts w:ascii="Amasis MT Pro Light" w:hAnsi="Amasis MT Pro Light" w:cs="Times New Roman"/>
          <w:b/>
          <w:bCs/>
          <w:sz w:val="24"/>
          <w:szCs w:val="24"/>
          <w:lang w:val="en-GB"/>
        </w:rPr>
        <w:t>The "theoretical-methodological part" of the comp</w:t>
      </w:r>
      <w:r w:rsidR="004B4066" w:rsidRPr="00506470">
        <w:rPr>
          <w:rFonts w:ascii="Amasis MT Pro Light" w:hAnsi="Amasis MT Pro Light" w:cs="Times New Roman"/>
          <w:b/>
          <w:bCs/>
          <w:sz w:val="24"/>
          <w:szCs w:val="24"/>
          <w:lang w:val="en-GB"/>
        </w:rPr>
        <w:t>rehensive</w:t>
      </w:r>
      <w:r w:rsidRPr="00506470">
        <w:rPr>
          <w:rFonts w:ascii="Amasis MT Pro Light" w:hAnsi="Amasis MT Pro Light" w:cs="Times New Roman"/>
          <w:b/>
          <w:bCs/>
          <w:sz w:val="24"/>
          <w:szCs w:val="24"/>
          <w:lang w:val="en-GB"/>
        </w:rPr>
        <w:t xml:space="preserve"> examination:</w:t>
      </w:r>
    </w:p>
    <w:p w14:paraId="66331669" w14:textId="77777777" w:rsidR="004B4066" w:rsidRPr="00506470" w:rsidRDefault="004B4066" w:rsidP="004B4066">
      <w:pPr>
        <w:pStyle w:val="Listaszerbekezds"/>
        <w:numPr>
          <w:ilvl w:val="0"/>
          <w:numId w:val="8"/>
        </w:numPr>
        <w:spacing w:after="0" w:line="240" w:lineRule="auto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D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octoral students </w:t>
      </w:r>
      <w:r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need to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compile a bibliography for </w:t>
      </w:r>
      <w:r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two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</w:t>
      </w:r>
      <w:r w:rsidR="00252A07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topics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(with at least 15 items each), which </w:t>
      </w:r>
      <w:r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are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</w:t>
      </w:r>
      <w:r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approved</w:t>
      </w:r>
      <w:r w:rsidR="001931BD" w:rsidRPr="00506470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by the supervisor</w:t>
      </w:r>
      <w:r w:rsidR="001931BD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.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bibliographies are then assessed by the head of the examination committee, and if necessary, are sent back to the student for revision. </w:t>
      </w:r>
      <w:r w:rsidR="001931BD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doctoral student</w:t>
      </w:r>
      <w:r w:rsidR="001931BD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cannot</w:t>
      </w:r>
      <w:r w:rsidR="001931BD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be </w:t>
      </w:r>
      <w:r w:rsidR="001931BD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admitted to the comprehensive exam if the bibliographies are not accepted by the DS. </w:t>
      </w:r>
    </w:p>
    <w:p w14:paraId="2BB8385F" w14:textId="0815E9CE" w:rsidR="001931BD" w:rsidRPr="00506470" w:rsidRDefault="001931BD" w:rsidP="004B4066">
      <w:pPr>
        <w:pStyle w:val="Listaszerbekezds"/>
        <w:numPr>
          <w:ilvl w:val="0"/>
          <w:numId w:val="8"/>
        </w:numPr>
        <w:spacing w:after="0" w:line="240" w:lineRule="auto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 theoretical-methodological part of the exam is conducted orally. The examining committee formulate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 question or a thesis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for each of the two topics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. The examinee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then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offer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 short, argumentative presentation to demonstrate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their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knowledge of the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lastRenderedPageBreak/>
        <w:t xml:space="preserve">literature </w:t>
      </w:r>
      <w:r w:rsidR="00252A07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and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respond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to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any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further questions of the committee.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he aim of the committee is to </w:t>
      </w:r>
      <w:r w:rsidR="00252A07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assess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that the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student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is proficient in a wide range of methodological and scientific knowledge</w:t>
      </w:r>
      <w:r w:rsidR="006C0E45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related to their research 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and has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ability </w:t>
      </w:r>
      <w:r w:rsidR="004B4066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for academic</w:t>
      </w:r>
      <w:r w:rsidR="00252A07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4949BB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debate. 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members of the examining committee evaluate the theoretical-methodological competence of the </w:t>
      </w:r>
      <w:r w:rsidR="00942987"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student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in writing (</w:t>
      </w:r>
      <w:r w:rsidRPr="00506470">
        <w:rPr>
          <w:rFonts w:ascii="Amasis MT Pro Light" w:eastAsia="Times New Roman" w:hAnsi="Amasis MT Pro Light" w:cs="Times New Roman"/>
          <w:i/>
          <w:iCs/>
          <w:color w:val="000000"/>
          <w:sz w:val="24"/>
          <w:szCs w:val="24"/>
          <w:lang w:val="en-GB" w:eastAsia="hu-HU"/>
        </w:rPr>
        <w:t>passed/failed</w:t>
      </w:r>
      <w:r w:rsidRPr="00506470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). </w:t>
      </w:r>
    </w:p>
    <w:p w14:paraId="7FB29FCB" w14:textId="77777777" w:rsidR="004B4066" w:rsidRDefault="004B4066" w:rsidP="004B4066">
      <w:p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</w:p>
    <w:p w14:paraId="3EC44295" w14:textId="77777777" w:rsidR="004B4066" w:rsidRPr="004B4066" w:rsidRDefault="004949BB" w:rsidP="004B4066">
      <w:p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lang w:val="en-GB" w:eastAsia="hu-HU"/>
        </w:rPr>
      </w:pPr>
      <w:r w:rsidRPr="004B4066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lang w:val="en-GB" w:eastAsia="hu-HU"/>
        </w:rPr>
        <w:t>The second "dissertation part" of the comp</w:t>
      </w:r>
      <w:r w:rsidR="004B4066" w:rsidRPr="004B4066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lang w:val="en-GB" w:eastAsia="hu-HU"/>
        </w:rPr>
        <w:t>rehensive</w:t>
      </w:r>
      <w:r w:rsidRPr="004B4066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lang w:val="en-GB" w:eastAsia="hu-HU"/>
        </w:rPr>
        <w:t xml:space="preserve"> examination:</w:t>
      </w:r>
    </w:p>
    <w:p w14:paraId="3A05CD0F" w14:textId="77777777" w:rsidR="004B4066" w:rsidRPr="009F4ABD" w:rsidRDefault="004B4066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he examinee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g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ive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 presentation to demonstrate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their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familiarity with the literature, present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their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research findings and the research plan with respect to the second phase of the doctoral programme, 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present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 expected results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and propose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a feasible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schedule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="00252A07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for 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publication of findings on the basis of the </w:t>
      </w:r>
      <w:r w:rsidR="001931BD"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20-30 page </w:t>
      </w:r>
      <w:r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Research Plan</w:t>
      </w:r>
      <w:r w:rsidR="00252A07"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 xml:space="preserve"> </w:t>
      </w:r>
      <w:r w:rsidR="006C0E45"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(minimum of 55,000 and a maximum of 75,000 characters including space</w:t>
      </w:r>
      <w:r w:rsidR="00252A07"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s</w:t>
      </w:r>
      <w:r w:rsidR="006C0E45" w:rsidRPr="009F4ABD">
        <w:rPr>
          <w:rFonts w:ascii="Amasis MT Pro Light" w:eastAsia="Times New Roman" w:hAnsi="Amasis MT Pro Light" w:cs="Times New Roman"/>
          <w:b/>
          <w:bCs/>
          <w:color w:val="000000"/>
          <w:sz w:val="24"/>
          <w:szCs w:val="24"/>
          <w:u w:val="single"/>
          <w:lang w:val="en-GB" w:eastAsia="hu-HU"/>
        </w:rPr>
        <w:t>)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that has been 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submitted to the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CDI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prior to</w:t>
      </w:r>
      <w:r w:rsidR="001931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the exam. </w:t>
      </w:r>
    </w:p>
    <w:p w14:paraId="06CA9216" w14:textId="5FC59584" w:rsidR="006C0E45" w:rsidRPr="009F4ABD" w:rsidRDefault="004E649E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u w:val="single"/>
          <w:lang w:val="en-GB" w:eastAsia="hu-HU"/>
        </w:rPr>
        <w:t>Parts of the research plan: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</w:p>
    <w:p w14:paraId="1F20C378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Title, </w:t>
      </w:r>
    </w:p>
    <w:p w14:paraId="6A5E6D96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Table of contents, </w:t>
      </w:r>
      <w:r w:rsidR="006C0E45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ab/>
      </w:r>
    </w:p>
    <w:p w14:paraId="4930A06C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Introduction (personal reason for the choice of topic, </w:t>
      </w:r>
      <w:r w:rsidR="009F3CF0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relevance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, social, economic, environmental context), </w:t>
      </w:r>
    </w:p>
    <w:p w14:paraId="00B595C9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Literature review, </w:t>
      </w:r>
    </w:p>
    <w:p w14:paraId="31DEEBD4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Research question/goal, (detailed, supported by literature) </w:t>
      </w:r>
    </w:p>
    <w:p w14:paraId="2B06249A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Research methods, </w:t>
      </w:r>
    </w:p>
    <w:p w14:paraId="76C9C4D6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Significance of research, implications, </w:t>
      </w:r>
    </w:p>
    <w:p w14:paraId="22743862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Schedule, </w:t>
      </w:r>
    </w:p>
    <w:p w14:paraId="29C2439E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Bibliography, </w:t>
      </w:r>
    </w:p>
    <w:p w14:paraId="2574A527" w14:textId="5FA3CB7C" w:rsidR="004E649E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Appendices.</w:t>
      </w:r>
    </w:p>
    <w:p w14:paraId="60321ACF" w14:textId="116983FA" w:rsidR="006C0E45" w:rsidRPr="009F4ABD" w:rsidRDefault="006C0E45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u w:val="single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u w:val="single"/>
          <w:lang w:val="en-GB" w:eastAsia="hu-HU"/>
        </w:rPr>
        <w:t>Form</w:t>
      </w:r>
      <w:r w:rsidR="004B4066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u w:val="single"/>
          <w:lang w:val="en-GB" w:eastAsia="hu-HU"/>
        </w:rPr>
        <w:t>at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u w:val="single"/>
          <w:lang w:val="en-GB" w:eastAsia="hu-HU"/>
        </w:rPr>
        <w:t>:</w:t>
      </w:r>
    </w:p>
    <w:p w14:paraId="749AB8D7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A/4 size, </w:t>
      </w:r>
    </w:p>
    <w:p w14:paraId="3F5F4180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2.5 cm margin,</w:t>
      </w:r>
      <w:r w:rsidR="009F3CF0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</w:p>
    <w:p w14:paraId="48EDA0B6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spacing</w:t>
      </w:r>
      <w:r w:rsidR="009F3CF0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: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1, </w:t>
      </w:r>
    </w:p>
    <w:p w14:paraId="7ED7EE42" w14:textId="77777777" w:rsidR="006C0E45" w:rsidRPr="009F4ABD" w:rsidRDefault="009F3CF0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font: </w:t>
      </w:r>
      <w:r w:rsidR="004E649E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12 TNR, </w:t>
      </w:r>
    </w:p>
    <w:p w14:paraId="7DFD4694" w14:textId="77777777" w:rsidR="006C0E45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paragraphs separated by tabs, </w:t>
      </w:r>
    </w:p>
    <w:p w14:paraId="06B559A2" w14:textId="23012536" w:rsidR="004E649E" w:rsidRPr="009F4ABD" w:rsidRDefault="004E649E" w:rsidP="009F4ABD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 pages are numbered in the lower right corner.</w:t>
      </w:r>
    </w:p>
    <w:p w14:paraId="4816573F" w14:textId="53DF0898" w:rsidR="009F4ABD" w:rsidRPr="009F4ABD" w:rsidRDefault="00252A07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Following the presentation </w:t>
      </w:r>
      <w:r w:rsidR="009F4A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</w:t>
      </w:r>
      <w:r w:rsidR="004949BB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he committee </w:t>
      </w:r>
      <w:r w:rsidR="004B4066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can raise</w:t>
      </w:r>
      <w:r w:rsidR="004949BB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questions about </w:t>
      </w:r>
      <w:r w:rsidR="004B4066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any part of the presentation for further clarification</w:t>
      </w:r>
      <w:r w:rsidR="004949BB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.</w:t>
      </w:r>
    </w:p>
    <w:p w14:paraId="2E5999EB" w14:textId="4B2B5515" w:rsidR="009F4ABD" w:rsidRPr="009F4ABD" w:rsidRDefault="009F4ABD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supervisor also </w:t>
      </w:r>
      <w:proofErr w:type="gramStart"/>
      <w:r w:rsidR="005F3414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has the opportunity to</w:t>
      </w:r>
      <w:proofErr w:type="gramEnd"/>
      <w:r w:rsidR="005F3414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evaluate the student’s work and </w:t>
      </w:r>
      <w:r w:rsidR="005F3414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to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declare whether they find the student suitable for the successful completion of the doctoral training, and whether they consider the schedule and the publication plan realistic. </w:t>
      </w:r>
    </w:p>
    <w:p w14:paraId="13C4604E" w14:textId="0FEDE6D0" w:rsidR="001931BD" w:rsidRPr="009F4ABD" w:rsidRDefault="001931BD" w:rsidP="009F4ABD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</w:pP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 examining committee </w:t>
      </w:r>
      <w:r w:rsidR="009F4A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then 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evaluate</w:t>
      </w:r>
      <w:r w:rsidR="009F4A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s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the theoretical-methodological and the dissertation part of the exam separately, qualifying them </w:t>
      </w:r>
      <w:r w:rsidR="009F4ABD"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each as </w:t>
      </w:r>
      <w:r w:rsidRPr="009F4ABD">
        <w:rPr>
          <w:rFonts w:ascii="Amasis MT Pro Light" w:eastAsia="Times New Roman" w:hAnsi="Amasis MT Pro Light" w:cs="Times New Roman"/>
          <w:i/>
          <w:color w:val="000000"/>
          <w:sz w:val="24"/>
          <w:szCs w:val="24"/>
          <w:lang w:val="en-GB" w:eastAsia="hu-HU"/>
        </w:rPr>
        <w:t>passed/failed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. The comprehensive exam is successful if </w:t>
      </w:r>
      <w:proofErr w:type="gramStart"/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>the majority of</w:t>
      </w:r>
      <w:proofErr w:type="gramEnd"/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 the committee members deem both parts of the exam to be successful (</w:t>
      </w:r>
      <w:r w:rsidRPr="009F4ABD">
        <w:rPr>
          <w:rFonts w:ascii="Amasis MT Pro Light" w:eastAsia="Times New Roman" w:hAnsi="Amasis MT Pro Light" w:cs="Times New Roman"/>
          <w:i/>
          <w:iCs/>
          <w:color w:val="000000"/>
          <w:sz w:val="24"/>
          <w:szCs w:val="24"/>
          <w:lang w:val="en-GB" w:eastAsia="hu-HU"/>
        </w:rPr>
        <w:t>passed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). It is unsuccessful if either of the exam parts is evaluated as </w:t>
      </w:r>
      <w:r w:rsidRPr="009F4ABD">
        <w:rPr>
          <w:rFonts w:ascii="Amasis MT Pro Light" w:eastAsia="Times New Roman" w:hAnsi="Amasis MT Pro Light" w:cs="Times New Roman"/>
          <w:i/>
          <w:iCs/>
          <w:color w:val="000000"/>
          <w:sz w:val="24"/>
          <w:szCs w:val="24"/>
          <w:lang w:val="en-GB" w:eastAsia="hu-HU"/>
        </w:rPr>
        <w:t>failed</w:t>
      </w:r>
      <w:r w:rsidRPr="009F4ABD">
        <w:rPr>
          <w:rFonts w:ascii="Amasis MT Pro Light" w:eastAsia="Times New Roman" w:hAnsi="Amasis MT Pro Light" w:cs="Times New Roman"/>
          <w:color w:val="000000"/>
          <w:sz w:val="24"/>
          <w:szCs w:val="24"/>
          <w:lang w:val="en-GB" w:eastAsia="hu-HU"/>
        </w:rPr>
        <w:t xml:space="preserve">. </w:t>
      </w:r>
    </w:p>
    <w:p w14:paraId="3E3B091C" w14:textId="77777777" w:rsidR="0011219B" w:rsidRDefault="0011219B">
      <w:pPr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</w:pPr>
      <w:r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  <w:br w:type="page"/>
      </w:r>
    </w:p>
    <w:p w14:paraId="63C33235" w14:textId="40956471" w:rsidR="009E55E7" w:rsidRPr="00387272" w:rsidRDefault="003F647E" w:rsidP="004B4066">
      <w:pPr>
        <w:spacing w:after="0" w:line="240" w:lineRule="auto"/>
        <w:jc w:val="center"/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</w:pPr>
      <w:r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  <w:lastRenderedPageBreak/>
        <w:t>Important</w:t>
      </w:r>
      <w:r w:rsidR="00826F9C" w:rsidRPr="00387272"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  <w:t xml:space="preserve"> D</w:t>
      </w:r>
      <w:r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  <w:t>ate</w:t>
      </w:r>
      <w:r w:rsidR="00826F9C" w:rsidRPr="00387272"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  <w:t>s</w:t>
      </w:r>
    </w:p>
    <w:p w14:paraId="5269F445" w14:textId="77777777" w:rsidR="009E55E7" w:rsidRPr="00387272" w:rsidRDefault="009E55E7" w:rsidP="004B4066">
      <w:pPr>
        <w:spacing w:after="0" w:line="240" w:lineRule="auto"/>
        <w:jc w:val="both"/>
        <w:rPr>
          <w:rFonts w:ascii="Amasis MT Pro Light" w:eastAsia="Times New Roman" w:hAnsi="Amasis MT Pro Light" w:cs="Times New Roman"/>
          <w:b/>
          <w:sz w:val="24"/>
          <w:szCs w:val="24"/>
          <w:lang w:val="en-GB" w:eastAsia="x-none"/>
        </w:rPr>
      </w:pPr>
    </w:p>
    <w:tbl>
      <w:tblPr>
        <w:tblStyle w:val="Rcsostblzat1"/>
        <w:tblW w:w="9669" w:type="dxa"/>
        <w:tblInd w:w="-176" w:type="dxa"/>
        <w:tblLook w:val="04A0" w:firstRow="1" w:lastRow="0" w:firstColumn="1" w:lastColumn="0" w:noHBand="0" w:noVBand="1"/>
      </w:tblPr>
      <w:tblGrid>
        <w:gridCol w:w="6267"/>
        <w:gridCol w:w="3402"/>
      </w:tblGrid>
      <w:tr w:rsidR="009E55E7" w:rsidRPr="00387272" w14:paraId="383A52D7" w14:textId="77777777" w:rsidTr="00B1129C">
        <w:trPr>
          <w:trHeight w:val="370"/>
        </w:trPr>
        <w:tc>
          <w:tcPr>
            <w:tcW w:w="6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CCCD0" w14:textId="5A85E8C8" w:rsidR="009E55E7" w:rsidRPr="00387272" w:rsidRDefault="006C0E45" w:rsidP="004B4066">
            <w:pPr>
              <w:jc w:val="center"/>
              <w:rPr>
                <w:rFonts w:ascii="Amasis MT Pro Light" w:eastAsia="Times New Roman" w:hAnsi="Amasis MT Pro Light" w:cs="Times New Roman"/>
                <w:b/>
                <w:i/>
                <w:sz w:val="24"/>
                <w:szCs w:val="24"/>
                <w:lang w:val="en-GB" w:eastAsia="x-none"/>
              </w:rPr>
            </w:pPr>
            <w:r w:rsidRPr="00387272">
              <w:rPr>
                <w:rFonts w:ascii="Amasis MT Pro Light" w:eastAsia="Times New Roman" w:hAnsi="Amasis MT Pro Light" w:cs="Times New Roman"/>
                <w:b/>
                <w:i/>
                <w:sz w:val="24"/>
                <w:szCs w:val="24"/>
                <w:lang w:val="en-GB" w:eastAsia="x-none"/>
              </w:rPr>
              <w:t>Task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A27EB" w14:textId="489BC35A" w:rsidR="009E55E7" w:rsidRPr="00387272" w:rsidRDefault="006C0E45" w:rsidP="004B4066">
            <w:pPr>
              <w:jc w:val="center"/>
              <w:rPr>
                <w:rFonts w:ascii="Amasis MT Pro Light" w:eastAsia="Times New Roman" w:hAnsi="Amasis MT Pro Light" w:cs="Times New Roman"/>
                <w:b/>
                <w:i/>
                <w:sz w:val="24"/>
                <w:szCs w:val="24"/>
                <w:lang w:val="en-GB" w:eastAsia="x-none"/>
              </w:rPr>
            </w:pPr>
            <w:r w:rsidRPr="00387272">
              <w:rPr>
                <w:rFonts w:ascii="Amasis MT Pro Light" w:eastAsia="Times New Roman" w:hAnsi="Amasis MT Pro Light" w:cs="Times New Roman"/>
                <w:b/>
                <w:i/>
                <w:sz w:val="24"/>
                <w:szCs w:val="24"/>
                <w:lang w:val="en-GB" w:eastAsia="x-none"/>
              </w:rPr>
              <w:t>Deadline</w:t>
            </w:r>
          </w:p>
        </w:tc>
      </w:tr>
      <w:tr w:rsidR="009E55E7" w:rsidRPr="00387272" w14:paraId="1B57591E" w14:textId="77777777" w:rsidTr="00B1129C">
        <w:trPr>
          <w:trHeight w:val="967"/>
        </w:trPr>
        <w:tc>
          <w:tcPr>
            <w:tcW w:w="6267" w:type="dxa"/>
            <w:vAlign w:val="center"/>
          </w:tcPr>
          <w:p w14:paraId="2B131060" w14:textId="693C3FB4" w:rsidR="009E55E7" w:rsidRPr="00506470" w:rsidRDefault="00D2084F" w:rsidP="004B4066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 xml:space="preserve">Application for </w:t>
            </w:r>
            <w:r w:rsidR="00BA3864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 xml:space="preserve">the </w:t>
            </w: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comprehensive exam</w:t>
            </w:r>
          </w:p>
        </w:tc>
        <w:tc>
          <w:tcPr>
            <w:tcW w:w="3402" w:type="dxa"/>
            <w:vAlign w:val="center"/>
          </w:tcPr>
          <w:p w14:paraId="52582A30" w14:textId="086726C6" w:rsidR="00766690" w:rsidRPr="00506470" w:rsidRDefault="00333DC7" w:rsidP="009F4ABD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24</w:t>
            </w: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vertAlign w:val="superscript"/>
                <w:lang w:val="en-GB" w:eastAsia="x-none"/>
              </w:rPr>
              <w:t>th</w:t>
            </w: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 xml:space="preserve"> February</w:t>
            </w:r>
            <w:r w:rsidR="003E0A76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,</w:t>
            </w:r>
            <w:r w:rsidR="00C73079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202</w:t>
            </w:r>
            <w:r w:rsidR="003E0A76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5</w:t>
            </w:r>
          </w:p>
        </w:tc>
      </w:tr>
      <w:tr w:rsidR="00D2084F" w:rsidRPr="00387272" w14:paraId="21DFB607" w14:textId="77777777" w:rsidTr="00B1129C">
        <w:trPr>
          <w:trHeight w:val="967"/>
        </w:trPr>
        <w:tc>
          <w:tcPr>
            <w:tcW w:w="6267" w:type="dxa"/>
            <w:vAlign w:val="center"/>
          </w:tcPr>
          <w:p w14:paraId="01029A09" w14:textId="1D8CD305" w:rsidR="00D2084F" w:rsidRPr="00506470" w:rsidRDefault="00D2084F" w:rsidP="00D2084F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Submission of the </w:t>
            </w:r>
            <w:r w:rsidRPr="00506470">
              <w:rPr>
                <w:rFonts w:ascii="Amasis MT Pro Light" w:eastAsia="Calibri" w:hAnsi="Amasis MT Pro Light" w:cs="Times New Roman"/>
                <w:b/>
                <w:bCs/>
                <w:sz w:val="24"/>
                <w:szCs w:val="24"/>
                <w:lang w:val="en-GB"/>
              </w:rPr>
              <w:t>bibliography proposals for the 2 topics</w:t>
            </w: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 assigned to the theoretical part of the examination, accepted by the supervisor, to </w:t>
            </w:r>
            <w:r w:rsidR="00C73079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the University Doctoral Office (</w:t>
            </w:r>
            <w:r w:rsidR="00A67E86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On </w:t>
            </w:r>
            <w:r w:rsidR="00333DC7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TEAMS</w:t>
            </w:r>
            <w:r w:rsidR="00A67E86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 – Teams group will be created by the Doctoral Office</w:t>
            </w:r>
            <w:r w:rsidR="00C73079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402" w:type="dxa"/>
            <w:vAlign w:val="center"/>
          </w:tcPr>
          <w:p w14:paraId="5BDBFF58" w14:textId="27E37D6D" w:rsidR="00D2084F" w:rsidRPr="00506470" w:rsidRDefault="00333DC7" w:rsidP="00D2084F">
            <w:pPr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</w:pP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31</w:t>
            </w: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 March, </w:t>
            </w:r>
            <w:r w:rsidR="00C73079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202</w:t>
            </w:r>
            <w:r w:rsidR="003E0A76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5</w:t>
            </w:r>
          </w:p>
        </w:tc>
      </w:tr>
      <w:tr w:rsidR="00D2084F" w:rsidRPr="00387272" w14:paraId="2B7CDCFA" w14:textId="77777777" w:rsidTr="00B1129C">
        <w:trPr>
          <w:trHeight w:val="2526"/>
        </w:trPr>
        <w:tc>
          <w:tcPr>
            <w:tcW w:w="6267" w:type="dxa"/>
            <w:vAlign w:val="center"/>
          </w:tcPr>
          <w:p w14:paraId="4B9622E3" w14:textId="77777777" w:rsidR="00D2084F" w:rsidRPr="00506470" w:rsidRDefault="00D2084F" w:rsidP="00D2084F">
            <w:pPr>
              <w:jc w:val="both"/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  <w:t>Documents to be submitted:</w:t>
            </w:r>
          </w:p>
          <w:p w14:paraId="59C54BEF" w14:textId="4EFD4174" w:rsidR="00D2084F" w:rsidRPr="00506470" w:rsidRDefault="00D2084F" w:rsidP="00D2084F">
            <w:pPr>
              <w:jc w:val="both"/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  <w:t>1. Final version of the 2 topics and bibliography</w:t>
            </w:r>
          </w:p>
          <w:p w14:paraId="00FEF821" w14:textId="6CB9251D" w:rsidR="00D2084F" w:rsidRPr="00506470" w:rsidRDefault="00D2084F" w:rsidP="00D2084F">
            <w:pPr>
              <w:jc w:val="both"/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  <w:t>2. Research plan</w:t>
            </w:r>
          </w:p>
          <w:p w14:paraId="15D1BCC7" w14:textId="21980C07" w:rsidR="00D2084F" w:rsidRPr="00506470" w:rsidRDefault="00D2084F" w:rsidP="00D2084F">
            <w:pPr>
              <w:jc w:val="both"/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  <w:t>3. Presentation</w:t>
            </w:r>
          </w:p>
          <w:p w14:paraId="5081B778" w14:textId="43D867A9" w:rsidR="00D2084F" w:rsidRPr="00506470" w:rsidRDefault="00D2084F" w:rsidP="00D2084F">
            <w:pPr>
              <w:jc w:val="both"/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Cs/>
                <w:sz w:val="24"/>
                <w:szCs w:val="24"/>
                <w:lang w:val="en-GB" w:eastAsia="x-none"/>
              </w:rPr>
              <w:t>4. Supervisor’s evaluation</w:t>
            </w:r>
          </w:p>
          <w:p w14:paraId="5AB46825" w14:textId="505947E9" w:rsidR="00D2084F" w:rsidRPr="00506470" w:rsidRDefault="00333DC7" w:rsidP="00D2084F">
            <w:pPr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  <w:t xml:space="preserve">Documents to be uploaded to TEAMS / FILES. </w:t>
            </w:r>
          </w:p>
        </w:tc>
        <w:tc>
          <w:tcPr>
            <w:tcW w:w="3402" w:type="dxa"/>
            <w:vAlign w:val="center"/>
          </w:tcPr>
          <w:p w14:paraId="560C288F" w14:textId="49031802" w:rsidR="00D2084F" w:rsidRPr="00506470" w:rsidRDefault="00333DC7" w:rsidP="00D2084F">
            <w:pPr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</w:pP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14</w:t>
            </w: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 xml:space="preserve"> May, </w:t>
            </w:r>
            <w:r w:rsidR="00D2084F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202</w:t>
            </w:r>
            <w:r w:rsidR="003E0A76" w:rsidRPr="00506470">
              <w:rPr>
                <w:rFonts w:ascii="Amasis MT Pro Light" w:eastAsia="Calibri" w:hAnsi="Amasis MT Pro Light" w:cs="Times New Roman"/>
                <w:sz w:val="24"/>
                <w:szCs w:val="24"/>
                <w:lang w:val="en-GB"/>
              </w:rPr>
              <w:t>5</w:t>
            </w:r>
          </w:p>
        </w:tc>
      </w:tr>
      <w:tr w:rsidR="00D2084F" w:rsidRPr="00387272" w14:paraId="6159DE5C" w14:textId="77777777" w:rsidTr="00B1129C">
        <w:trPr>
          <w:trHeight w:val="620"/>
        </w:trPr>
        <w:tc>
          <w:tcPr>
            <w:tcW w:w="6267" w:type="dxa"/>
            <w:vAlign w:val="center"/>
          </w:tcPr>
          <w:p w14:paraId="35AB296D" w14:textId="7F19628E" w:rsidR="00D2084F" w:rsidRPr="00506470" w:rsidRDefault="00D2084F" w:rsidP="00D2084F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  <w:t>Conducting the Comprehensive Exam</w:t>
            </w:r>
          </w:p>
        </w:tc>
        <w:tc>
          <w:tcPr>
            <w:tcW w:w="3402" w:type="dxa"/>
            <w:vAlign w:val="center"/>
          </w:tcPr>
          <w:p w14:paraId="4F979F01" w14:textId="77777777" w:rsidR="003E0A76" w:rsidRPr="00506470" w:rsidRDefault="003E0A76" w:rsidP="003E0A76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eastAsia="x-none"/>
              </w:rPr>
            </w:pPr>
            <w:proofErr w:type="spellStart"/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eastAsia="x-none"/>
              </w:rPr>
              <w:t>Tuesday</w:t>
            </w:r>
            <w:proofErr w:type="spellEnd"/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eastAsia="x-none"/>
              </w:rPr>
              <w:t xml:space="preserve">, 03 </w:t>
            </w:r>
            <w:proofErr w:type="spellStart"/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eastAsia="x-none"/>
              </w:rPr>
              <w:t>June</w:t>
            </w:r>
            <w:proofErr w:type="spellEnd"/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eastAsia="x-none"/>
              </w:rPr>
              <w:t>, 10:00-14:00</w:t>
            </w:r>
          </w:p>
          <w:p w14:paraId="02611471" w14:textId="79DAE40F" w:rsidR="00D2084F" w:rsidRPr="00506470" w:rsidRDefault="00D2084F" w:rsidP="00D2084F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202</w:t>
            </w:r>
            <w:r w:rsidR="003E0A76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5</w:t>
            </w:r>
          </w:p>
        </w:tc>
      </w:tr>
      <w:tr w:rsidR="00D2084F" w:rsidRPr="00387272" w14:paraId="6A41866E" w14:textId="77777777" w:rsidTr="00B1129C">
        <w:trPr>
          <w:trHeight w:val="558"/>
        </w:trPr>
        <w:tc>
          <w:tcPr>
            <w:tcW w:w="6267" w:type="dxa"/>
            <w:vAlign w:val="center"/>
          </w:tcPr>
          <w:p w14:paraId="4FB448D0" w14:textId="7E0ED760" w:rsidR="00D2084F" w:rsidRPr="00506470" w:rsidRDefault="00D2084F" w:rsidP="00D2084F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b/>
                <w:sz w:val="24"/>
                <w:szCs w:val="24"/>
                <w:lang w:val="en-GB" w:eastAsia="x-none"/>
              </w:rPr>
              <w:t>Retake of the Comprehensive Exam</w:t>
            </w: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25A38CA" w14:textId="244EFEC5" w:rsidR="00D2084F" w:rsidRPr="00506470" w:rsidRDefault="00D2084F" w:rsidP="00D2084F">
            <w:pPr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</w:pPr>
            <w:r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202</w:t>
            </w:r>
            <w:r w:rsidR="003E0A76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5</w:t>
            </w:r>
            <w:r w:rsidR="00333DC7" w:rsidRPr="00506470">
              <w:rPr>
                <w:rFonts w:ascii="Amasis MT Pro Light" w:eastAsia="Times New Roman" w:hAnsi="Amasis MT Pro Light" w:cs="Times New Roman"/>
                <w:sz w:val="24"/>
                <w:szCs w:val="24"/>
                <w:lang w:val="en-GB" w:eastAsia="x-none"/>
              </w:rPr>
              <w:t>, end of August</w:t>
            </w:r>
          </w:p>
        </w:tc>
      </w:tr>
    </w:tbl>
    <w:p w14:paraId="1B77F373" w14:textId="77777777" w:rsidR="009E55E7" w:rsidRPr="00387272" w:rsidRDefault="009E55E7" w:rsidP="004B4066">
      <w:pPr>
        <w:spacing w:after="0" w:line="240" w:lineRule="auto"/>
        <w:rPr>
          <w:rFonts w:ascii="Amasis MT Pro Light" w:hAnsi="Amasis MT Pro Light" w:cs="Times New Roman"/>
          <w:sz w:val="24"/>
          <w:szCs w:val="24"/>
          <w:lang w:val="en-GB"/>
        </w:rPr>
      </w:pPr>
    </w:p>
    <w:sectPr w:rsidR="009E55E7" w:rsidRPr="0038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0C7"/>
    <w:multiLevelType w:val="hybridMultilevel"/>
    <w:tmpl w:val="AC605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094"/>
    <w:multiLevelType w:val="hybridMultilevel"/>
    <w:tmpl w:val="944E2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529"/>
    <w:multiLevelType w:val="hybridMultilevel"/>
    <w:tmpl w:val="29DE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413BE"/>
    <w:multiLevelType w:val="hybridMultilevel"/>
    <w:tmpl w:val="0F48A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63EC"/>
    <w:multiLevelType w:val="hybridMultilevel"/>
    <w:tmpl w:val="17A43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4D0D"/>
    <w:multiLevelType w:val="hybridMultilevel"/>
    <w:tmpl w:val="7B3E80E4"/>
    <w:lvl w:ilvl="0" w:tplc="8C38BD7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320C8"/>
    <w:multiLevelType w:val="hybridMultilevel"/>
    <w:tmpl w:val="A56EE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775"/>
    <w:multiLevelType w:val="hybridMultilevel"/>
    <w:tmpl w:val="E2322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6ED6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18B"/>
    <w:multiLevelType w:val="hybridMultilevel"/>
    <w:tmpl w:val="5AC842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5664">
    <w:abstractNumId w:val="5"/>
  </w:num>
  <w:num w:numId="2" w16cid:durableId="616528601">
    <w:abstractNumId w:val="3"/>
  </w:num>
  <w:num w:numId="3" w16cid:durableId="817380123">
    <w:abstractNumId w:val="7"/>
  </w:num>
  <w:num w:numId="4" w16cid:durableId="455179519">
    <w:abstractNumId w:val="4"/>
  </w:num>
  <w:num w:numId="5" w16cid:durableId="880090991">
    <w:abstractNumId w:val="1"/>
  </w:num>
  <w:num w:numId="6" w16cid:durableId="1492677573">
    <w:abstractNumId w:val="8"/>
  </w:num>
  <w:num w:numId="7" w16cid:durableId="586306448">
    <w:abstractNumId w:val="0"/>
  </w:num>
  <w:num w:numId="8" w16cid:durableId="421536443">
    <w:abstractNumId w:val="2"/>
  </w:num>
  <w:num w:numId="9" w16cid:durableId="460810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DA"/>
    <w:rsid w:val="000A09C5"/>
    <w:rsid w:val="0011219B"/>
    <w:rsid w:val="001931BD"/>
    <w:rsid w:val="001F1F21"/>
    <w:rsid w:val="002259B4"/>
    <w:rsid w:val="00252A07"/>
    <w:rsid w:val="00260348"/>
    <w:rsid w:val="00333DC7"/>
    <w:rsid w:val="00387272"/>
    <w:rsid w:val="003E0A76"/>
    <w:rsid w:val="003E4ECC"/>
    <w:rsid w:val="003F647E"/>
    <w:rsid w:val="00424AB6"/>
    <w:rsid w:val="00446CAB"/>
    <w:rsid w:val="00451780"/>
    <w:rsid w:val="00472F52"/>
    <w:rsid w:val="004949BB"/>
    <w:rsid w:val="004B4066"/>
    <w:rsid w:val="004C138D"/>
    <w:rsid w:val="004E649E"/>
    <w:rsid w:val="00506470"/>
    <w:rsid w:val="00512448"/>
    <w:rsid w:val="00564672"/>
    <w:rsid w:val="005F3414"/>
    <w:rsid w:val="006355A6"/>
    <w:rsid w:val="006C0E45"/>
    <w:rsid w:val="007376E6"/>
    <w:rsid w:val="00766690"/>
    <w:rsid w:val="00826F9C"/>
    <w:rsid w:val="008F1C59"/>
    <w:rsid w:val="008F63E5"/>
    <w:rsid w:val="00942987"/>
    <w:rsid w:val="00964145"/>
    <w:rsid w:val="009E55E7"/>
    <w:rsid w:val="009F3CF0"/>
    <w:rsid w:val="009F4ABD"/>
    <w:rsid w:val="00A412F0"/>
    <w:rsid w:val="00A67E86"/>
    <w:rsid w:val="00A8240C"/>
    <w:rsid w:val="00B1129C"/>
    <w:rsid w:val="00B70896"/>
    <w:rsid w:val="00BA01B3"/>
    <w:rsid w:val="00BA3864"/>
    <w:rsid w:val="00BB7E0F"/>
    <w:rsid w:val="00BF74DA"/>
    <w:rsid w:val="00C253C7"/>
    <w:rsid w:val="00C73079"/>
    <w:rsid w:val="00CA7254"/>
    <w:rsid w:val="00D2084F"/>
    <w:rsid w:val="00D56907"/>
    <w:rsid w:val="00D609C3"/>
    <w:rsid w:val="00DE5074"/>
    <w:rsid w:val="00E10878"/>
    <w:rsid w:val="00EB4261"/>
    <w:rsid w:val="00F17D1D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FD54"/>
  <w15:docId w15:val="{B3C3AB20-58DD-4F03-AE39-5913947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7D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7D1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5E7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9E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9E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76E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376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76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76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6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6E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2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László</dc:creator>
  <cp:keywords/>
  <dc:description/>
  <cp:lastModifiedBy>Czumpf Brigitta</cp:lastModifiedBy>
  <cp:revision>2</cp:revision>
  <dcterms:created xsi:type="dcterms:W3CDTF">2025-02-19T14:22:00Z</dcterms:created>
  <dcterms:modified xsi:type="dcterms:W3CDTF">2025-02-19T14:22:00Z</dcterms:modified>
</cp:coreProperties>
</file>